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D367FB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D367FB">
        <w:rPr>
          <w:rFonts w:cstheme="minorHAnsi"/>
          <w:b/>
          <w:szCs w:val="18"/>
        </w:rPr>
        <w:t>Określenie przedmiotu zakupu</w:t>
      </w:r>
    </w:p>
    <w:p w14:paraId="57CE13CF" w14:textId="0E2E3B85" w:rsidR="00D367FB" w:rsidRPr="00E335FF" w:rsidRDefault="00D367FB" w:rsidP="00E335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szCs w:val="18"/>
        </w:rPr>
        <w:t>Przedmiotem zamówienia jest:</w:t>
      </w:r>
      <w:r w:rsidR="00E335FF">
        <w:rPr>
          <w:rFonts w:cstheme="minorHAnsi"/>
          <w:szCs w:val="18"/>
        </w:rPr>
        <w:t xml:space="preserve"> </w:t>
      </w:r>
      <w:r w:rsidRPr="00E335FF">
        <w:rPr>
          <w:rFonts w:cstheme="minorHAnsi"/>
          <w:b/>
          <w:bCs/>
          <w:szCs w:val="18"/>
        </w:rPr>
        <w:t xml:space="preserve">Sukcesywna dostawa fabrycznie nowego osprzętu do linii kablowych </w:t>
      </w:r>
      <w:proofErr w:type="spellStart"/>
      <w:r w:rsidRPr="00E335FF">
        <w:rPr>
          <w:rFonts w:cstheme="minorHAnsi"/>
          <w:b/>
          <w:bCs/>
          <w:szCs w:val="18"/>
        </w:rPr>
        <w:t>nN</w:t>
      </w:r>
      <w:proofErr w:type="spellEnd"/>
      <w:r w:rsidRPr="00E335FF">
        <w:rPr>
          <w:rFonts w:cstheme="minorHAnsi"/>
          <w:b/>
          <w:bCs/>
          <w:szCs w:val="18"/>
        </w:rPr>
        <w:t xml:space="preserve"> i SN</w:t>
      </w:r>
      <w:r w:rsidR="00E335FF">
        <w:rPr>
          <w:rFonts w:cstheme="minorHAnsi"/>
          <w:b/>
          <w:bCs/>
          <w:szCs w:val="18"/>
        </w:rPr>
        <w:t xml:space="preserve"> </w:t>
      </w:r>
      <w:r w:rsidRPr="00E335FF">
        <w:rPr>
          <w:rFonts w:cstheme="minorHAnsi"/>
          <w:b/>
          <w:bCs/>
          <w:szCs w:val="18"/>
        </w:rPr>
        <w:t>dla PGE Dystrybucja S.A. Oddział Łódź.</w:t>
      </w:r>
    </w:p>
    <w:p w14:paraId="17DAD57A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</w:p>
    <w:p w14:paraId="413C64AA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bCs/>
          <w:szCs w:val="18"/>
          <w:u w:val="single"/>
        </w:rPr>
      </w:pPr>
      <w:r w:rsidRPr="00D367FB">
        <w:rPr>
          <w:rFonts w:cstheme="minorHAnsi"/>
          <w:b/>
          <w:bCs/>
          <w:szCs w:val="18"/>
          <w:u w:val="single"/>
        </w:rPr>
        <w:t>Zamówienie dzieli się na 7 niezależnych części:</w:t>
      </w:r>
    </w:p>
    <w:p w14:paraId="351153E0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bCs/>
          <w:szCs w:val="18"/>
          <w:u w:val="single"/>
        </w:rPr>
      </w:pPr>
    </w:p>
    <w:p w14:paraId="44EEA234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>Część 1 -</w:t>
      </w:r>
      <w:r w:rsidRPr="00D367FB">
        <w:rPr>
          <w:rFonts w:cstheme="minorHAnsi"/>
          <w:szCs w:val="18"/>
        </w:rPr>
        <w:t xml:space="preserve">  Głowice kablowe SN termokurczliwe</w:t>
      </w:r>
    </w:p>
    <w:p w14:paraId="11D17392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>Część 2 -</w:t>
      </w:r>
      <w:r w:rsidRPr="00D367FB">
        <w:rPr>
          <w:rFonts w:cstheme="minorHAnsi"/>
          <w:szCs w:val="18"/>
        </w:rPr>
        <w:t xml:space="preserve"> Głowice kablowe SN </w:t>
      </w:r>
      <w:proofErr w:type="spellStart"/>
      <w:r w:rsidRPr="00D367FB">
        <w:rPr>
          <w:rFonts w:cstheme="minorHAnsi"/>
          <w:szCs w:val="18"/>
        </w:rPr>
        <w:t>zimnokurczliwe</w:t>
      </w:r>
      <w:proofErr w:type="spellEnd"/>
    </w:p>
    <w:p w14:paraId="2B4B50E0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 xml:space="preserve">Część 3 - </w:t>
      </w:r>
      <w:r w:rsidRPr="00D367FB">
        <w:rPr>
          <w:rFonts w:cstheme="minorHAnsi"/>
          <w:szCs w:val="18"/>
        </w:rPr>
        <w:t>Mufy kablowe SN termokurczliwe</w:t>
      </w:r>
    </w:p>
    <w:p w14:paraId="036A7AFE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>Część 4 -</w:t>
      </w:r>
      <w:r w:rsidRPr="00D367FB">
        <w:rPr>
          <w:rFonts w:cstheme="minorHAnsi"/>
          <w:szCs w:val="18"/>
        </w:rPr>
        <w:t xml:space="preserve"> Mufy kablowe SN taśmowe - zestawy naprawcze</w:t>
      </w:r>
    </w:p>
    <w:p w14:paraId="26FD1F0B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>Część 5 -</w:t>
      </w:r>
      <w:r w:rsidRPr="00D367FB">
        <w:rPr>
          <w:rFonts w:cstheme="minorHAnsi"/>
          <w:szCs w:val="18"/>
        </w:rPr>
        <w:t xml:space="preserve"> Mufy kablowe SN taśmowo - żywiczne</w:t>
      </w:r>
    </w:p>
    <w:p w14:paraId="579CA862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D367FB">
        <w:rPr>
          <w:rFonts w:cstheme="minorHAnsi"/>
          <w:b/>
          <w:bCs/>
          <w:szCs w:val="18"/>
        </w:rPr>
        <w:t>Część 6 -</w:t>
      </w:r>
      <w:r w:rsidRPr="00D367FB">
        <w:rPr>
          <w:rFonts w:cstheme="minorHAnsi"/>
          <w:szCs w:val="18"/>
        </w:rPr>
        <w:t xml:space="preserve"> Mufy i głowice </w:t>
      </w:r>
      <w:proofErr w:type="spellStart"/>
      <w:r w:rsidRPr="00D367FB">
        <w:rPr>
          <w:rFonts w:cstheme="minorHAnsi"/>
          <w:szCs w:val="18"/>
        </w:rPr>
        <w:t>nN</w:t>
      </w:r>
      <w:proofErr w:type="spellEnd"/>
    </w:p>
    <w:p w14:paraId="2FF4AB11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  <w:u w:val="single"/>
        </w:rPr>
      </w:pPr>
      <w:r w:rsidRPr="00D367FB">
        <w:rPr>
          <w:rFonts w:cstheme="minorHAnsi"/>
          <w:b/>
          <w:bCs/>
          <w:szCs w:val="18"/>
        </w:rPr>
        <w:t>Część 7 -</w:t>
      </w:r>
      <w:r w:rsidRPr="00D367FB">
        <w:rPr>
          <w:rFonts w:cstheme="minorHAnsi"/>
          <w:szCs w:val="18"/>
        </w:rPr>
        <w:t xml:space="preserve"> Mufy przelotowe</w:t>
      </w:r>
    </w:p>
    <w:p w14:paraId="5853817E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  <w:u w:val="single"/>
        </w:rPr>
      </w:pPr>
    </w:p>
    <w:p w14:paraId="27A1718E" w14:textId="169BA235" w:rsidR="004906BC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  <w:u w:val="single"/>
        </w:rPr>
      </w:pPr>
      <w:r w:rsidRPr="00D367FB">
        <w:rPr>
          <w:rFonts w:cstheme="minorHAnsi"/>
          <w:szCs w:val="18"/>
          <w:u w:val="single"/>
        </w:rPr>
        <w:t>Szczegółowy zakres oraz wymagania określono w załączniku nr 1.1. do SWZ (Specyfikacja techniczna).</w:t>
      </w:r>
    </w:p>
    <w:p w14:paraId="3D11C38E" w14:textId="77777777" w:rsidR="00D367FB" w:rsidRPr="00D367FB" w:rsidRDefault="00D367FB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Cs w:val="18"/>
        </w:rPr>
      </w:pPr>
    </w:p>
    <w:p w14:paraId="778E1219" w14:textId="6D87F0A1" w:rsidR="004906BC" w:rsidRPr="00D367FB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D367FB">
        <w:rPr>
          <w:rFonts w:cstheme="minorHAnsi"/>
          <w:b/>
          <w:szCs w:val="18"/>
        </w:rPr>
        <w:t xml:space="preserve">Zasady realizacji zakupu (w tym załadunku i rozładunku </w:t>
      </w:r>
      <w:r w:rsidR="00D367FB" w:rsidRPr="00D367FB">
        <w:rPr>
          <w:rFonts w:cstheme="minorHAnsi"/>
          <w:b/>
          <w:szCs w:val="18"/>
        </w:rPr>
        <w:t>)</w:t>
      </w:r>
    </w:p>
    <w:p w14:paraId="09CD4981" w14:textId="04AEC010" w:rsidR="00D367FB" w:rsidRPr="00D367FB" w:rsidRDefault="00D367FB" w:rsidP="00E335FF">
      <w:pPr>
        <w:pStyle w:val="Akapitzlist"/>
        <w:numPr>
          <w:ilvl w:val="1"/>
          <w:numId w:val="31"/>
        </w:numPr>
        <w:spacing w:after="120"/>
        <w:ind w:left="502" w:hanging="218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szCs w:val="18"/>
          <w:lang w:eastAsia="pl-PL"/>
        </w:rPr>
        <w:t>Dostawa na koszt i ryzyko Wykonawcy.</w:t>
      </w:r>
    </w:p>
    <w:p w14:paraId="23899210" w14:textId="49B5C71B" w:rsidR="00D367FB" w:rsidRPr="00D367FB" w:rsidRDefault="00D367FB" w:rsidP="00E335FF">
      <w:pPr>
        <w:pStyle w:val="Akapitzlist"/>
        <w:numPr>
          <w:ilvl w:val="1"/>
          <w:numId w:val="31"/>
        </w:numPr>
        <w:spacing w:after="120"/>
        <w:ind w:left="709" w:hanging="425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szCs w:val="18"/>
          <w:lang w:eastAsia="pl-PL"/>
        </w:rPr>
        <w:t xml:space="preserve">Osprzęt kablowy (wszystkie jego części również wyposażenie dodatkowe) muszą być    fabrycznie nowe (wyprodukowane </w:t>
      </w:r>
      <w:r w:rsidRPr="00D367FB">
        <w:rPr>
          <w:rFonts w:cs="Arial"/>
          <w:szCs w:val="18"/>
          <w:u w:val="single"/>
          <w:lang w:eastAsia="pl-PL"/>
        </w:rPr>
        <w:t>nie wcześniej niż 6 miesięcy</w:t>
      </w:r>
      <w:r w:rsidRPr="00D367FB">
        <w:rPr>
          <w:rFonts w:cs="Arial"/>
          <w:szCs w:val="18"/>
          <w:lang w:eastAsia="pl-PL"/>
        </w:rPr>
        <w:t xml:space="preserve"> licząc od daty dostawy), wolne od wad fizycznych i prawnych, w pełni sprawne na dzień dostawy. </w:t>
      </w:r>
    </w:p>
    <w:p w14:paraId="6FB52C21" w14:textId="77777777" w:rsidR="00D367FB" w:rsidRPr="00D367FB" w:rsidRDefault="00D367FB" w:rsidP="00E335FF">
      <w:pPr>
        <w:pStyle w:val="Akapitzlist"/>
        <w:numPr>
          <w:ilvl w:val="1"/>
          <w:numId w:val="31"/>
        </w:numPr>
        <w:spacing w:after="120"/>
        <w:ind w:left="709" w:hanging="425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szCs w:val="18"/>
          <w:lang w:eastAsia="pl-PL"/>
        </w:rPr>
        <w:t>Kompletne zestawy muf i głowic powinny być zapakowane w sposób uniemożliwiający rozczłonkowanie zestawów i zabezpieczone przed zniszczeniem.</w:t>
      </w:r>
    </w:p>
    <w:p w14:paraId="146AD04C" w14:textId="77777777" w:rsidR="00D367FB" w:rsidRPr="00D367FB" w:rsidRDefault="00D367FB" w:rsidP="00E335FF">
      <w:pPr>
        <w:pStyle w:val="Akapitzlist"/>
        <w:numPr>
          <w:ilvl w:val="1"/>
          <w:numId w:val="31"/>
        </w:numPr>
        <w:spacing w:after="120"/>
        <w:ind w:left="709" w:hanging="425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szCs w:val="18"/>
          <w:lang w:eastAsia="pl-PL"/>
        </w:rPr>
        <w:t xml:space="preserve">Do każdego zestawu musi być dostarczony spis elementów wchodzących w jego skład </w:t>
      </w:r>
      <w:r w:rsidRPr="00D367FB">
        <w:rPr>
          <w:rFonts w:cs="Arial"/>
          <w:szCs w:val="18"/>
          <w:lang w:eastAsia="pl-PL"/>
        </w:rPr>
        <w:br/>
        <w:t>z opisem ilości i parametrów komponentów.</w:t>
      </w:r>
    </w:p>
    <w:p w14:paraId="60C5B312" w14:textId="77777777" w:rsidR="00D367FB" w:rsidRPr="00D367FB" w:rsidRDefault="00D367FB" w:rsidP="00E335FF">
      <w:pPr>
        <w:pStyle w:val="Akapitzlist"/>
        <w:numPr>
          <w:ilvl w:val="1"/>
          <w:numId w:val="31"/>
        </w:numPr>
        <w:spacing w:after="120"/>
        <w:ind w:left="502" w:hanging="218"/>
        <w:jc w:val="both"/>
        <w:rPr>
          <w:rFonts w:cs="Arial"/>
          <w:b/>
          <w:szCs w:val="18"/>
          <w:u w:val="single"/>
          <w:lang w:eastAsia="pl-PL"/>
        </w:rPr>
      </w:pPr>
      <w:r w:rsidRPr="00D367FB">
        <w:rPr>
          <w:rFonts w:cs="Arial"/>
          <w:szCs w:val="18"/>
          <w:lang w:eastAsia="pl-PL"/>
        </w:rPr>
        <w:t xml:space="preserve"> </w:t>
      </w:r>
      <w:r w:rsidRPr="00D367FB">
        <w:rPr>
          <w:rFonts w:cs="Arial"/>
          <w:b/>
          <w:szCs w:val="18"/>
          <w:u w:val="single"/>
          <w:lang w:eastAsia="pl-PL"/>
        </w:rPr>
        <w:t>Wymagane dokumenty do dostawy:</w:t>
      </w:r>
    </w:p>
    <w:p w14:paraId="1B73B3F9" w14:textId="77777777" w:rsidR="00D367FB" w:rsidRPr="00D367FB" w:rsidRDefault="00D367FB" w:rsidP="00D367FB">
      <w:pPr>
        <w:pStyle w:val="Akapitzlist"/>
        <w:numPr>
          <w:ilvl w:val="0"/>
          <w:numId w:val="33"/>
        </w:numPr>
        <w:spacing w:after="120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szCs w:val="18"/>
          <w:lang w:eastAsia="pl-PL"/>
        </w:rPr>
        <w:t>Karty gwarancyjne</w:t>
      </w:r>
    </w:p>
    <w:p w14:paraId="40CC29A7" w14:textId="77777777" w:rsidR="00D367FB" w:rsidRPr="00D367FB" w:rsidRDefault="00D367FB" w:rsidP="00D367FB">
      <w:pPr>
        <w:pStyle w:val="Akapitzlist"/>
        <w:numPr>
          <w:ilvl w:val="0"/>
          <w:numId w:val="33"/>
        </w:numPr>
        <w:spacing w:after="120"/>
        <w:jc w:val="both"/>
        <w:rPr>
          <w:rFonts w:cs="Arial"/>
          <w:szCs w:val="18"/>
          <w:lang w:eastAsia="pl-PL"/>
        </w:rPr>
      </w:pPr>
      <w:r w:rsidRPr="00D367FB">
        <w:rPr>
          <w:rFonts w:cs="Arial"/>
          <w:b/>
          <w:szCs w:val="18"/>
          <w:lang w:eastAsia="pl-PL"/>
        </w:rPr>
        <w:t>Deklaracja zgodności</w:t>
      </w:r>
      <w:r w:rsidRPr="00D367FB">
        <w:rPr>
          <w:rFonts w:cs="Arial"/>
          <w:szCs w:val="18"/>
          <w:lang w:eastAsia="pl-PL"/>
        </w:rPr>
        <w:t xml:space="preserve"> dla wszystkich zaoferowanych wyrobów, zgodnie z definicją zawartą w Ustawie z dnia 30 sierpnia 2002 r. o systemie oceny zgodności (</w:t>
      </w:r>
      <w:proofErr w:type="spellStart"/>
      <w:r w:rsidRPr="00D367FB">
        <w:rPr>
          <w:rFonts w:cs="Arial"/>
          <w:szCs w:val="18"/>
          <w:lang w:eastAsia="pl-PL"/>
        </w:rPr>
        <w:t>t.j</w:t>
      </w:r>
      <w:proofErr w:type="spellEnd"/>
      <w:r w:rsidRPr="00D367FB">
        <w:rPr>
          <w:rFonts w:cs="Arial"/>
          <w:szCs w:val="18"/>
          <w:lang w:eastAsia="pl-PL"/>
        </w:rPr>
        <w:t xml:space="preserve">. Dz. U. z 2004 r. Nr 204, poz. 2087, z </w:t>
      </w:r>
      <w:proofErr w:type="spellStart"/>
      <w:r w:rsidRPr="00D367FB">
        <w:rPr>
          <w:rFonts w:cs="Arial"/>
          <w:szCs w:val="18"/>
          <w:lang w:eastAsia="pl-PL"/>
        </w:rPr>
        <w:t>późn</w:t>
      </w:r>
      <w:proofErr w:type="spellEnd"/>
      <w:r w:rsidRPr="00D367FB">
        <w:rPr>
          <w:rFonts w:cs="Arial"/>
          <w:szCs w:val="18"/>
          <w:lang w:eastAsia="pl-PL"/>
        </w:rPr>
        <w:t>. zm.), spełniające wymagania określone w PN-EN ISO/</w:t>
      </w:r>
      <w:proofErr w:type="spellStart"/>
      <w:r w:rsidRPr="00D367FB">
        <w:rPr>
          <w:rFonts w:cs="Arial"/>
          <w:szCs w:val="18"/>
          <w:lang w:eastAsia="pl-PL"/>
        </w:rPr>
        <w:t>iEC</w:t>
      </w:r>
      <w:proofErr w:type="spellEnd"/>
      <w:r w:rsidRPr="00D367FB">
        <w:rPr>
          <w:rFonts w:cs="Arial"/>
          <w:szCs w:val="18"/>
          <w:lang w:eastAsia="pl-PL"/>
        </w:rPr>
        <w:t xml:space="preserve"> 17050-1. </w:t>
      </w:r>
    </w:p>
    <w:p w14:paraId="7366CF78" w14:textId="77777777" w:rsidR="00D367FB" w:rsidRPr="00D367FB" w:rsidRDefault="00D367FB" w:rsidP="00D367FB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szCs w:val="18"/>
        </w:rPr>
      </w:pPr>
      <w:r w:rsidRPr="00D367FB">
        <w:rPr>
          <w:rFonts w:cs="Arial"/>
          <w:b/>
          <w:szCs w:val="18"/>
          <w:lang w:eastAsia="pl-PL"/>
        </w:rPr>
        <w:t>Instrukcje montażu</w:t>
      </w:r>
      <w:r w:rsidRPr="00D367FB">
        <w:rPr>
          <w:rFonts w:cs="Arial"/>
          <w:szCs w:val="18"/>
          <w:lang w:eastAsia="pl-PL"/>
        </w:rPr>
        <w:t xml:space="preserve"> </w:t>
      </w:r>
      <w:r w:rsidRPr="00D367FB">
        <w:rPr>
          <w:rFonts w:cs="Arial"/>
          <w:bCs/>
          <w:szCs w:val="18"/>
          <w:lang w:eastAsia="pl-PL"/>
        </w:rPr>
        <w:t xml:space="preserve">zawierające szczegółowy opisu konstrukcji, rysunki montażowe, wykaz montażowy wszystkich komponentów wraz z dołączonym opisem oraz wyszczególnieniem ilości i rozmiarów komponentów, </w:t>
      </w:r>
      <w:r w:rsidRPr="00D367FB">
        <w:rPr>
          <w:rFonts w:cs="Arial"/>
          <w:szCs w:val="18"/>
          <w:lang w:eastAsia="pl-PL"/>
        </w:rPr>
        <w:t xml:space="preserve">wykaz zalecanych narzędzi do stosowania przy montażu wyrobu (jeśli są niezbędne </w:t>
      </w:r>
      <w:r w:rsidRPr="00D367FB">
        <w:rPr>
          <w:rFonts w:cs="Arial"/>
          <w:bCs/>
          <w:szCs w:val="18"/>
          <w:lang w:eastAsia="pl-PL"/>
        </w:rPr>
        <w:t>oraz zalecaną metodykę prób i badań.</w:t>
      </w:r>
      <w:r w:rsidRPr="00D367FB">
        <w:rPr>
          <w:rFonts w:cs="Arial"/>
          <w:szCs w:val="18"/>
          <w:lang w:eastAsia="pl-PL"/>
        </w:rPr>
        <w:t xml:space="preserve"> W/w dokumenty muszą</w:t>
      </w:r>
      <w:r w:rsidRPr="00D367FB">
        <w:rPr>
          <w:rFonts w:cs="Arial"/>
          <w:bCs/>
          <w:szCs w:val="18"/>
          <w:lang w:eastAsia="pl-PL"/>
        </w:rPr>
        <w:t xml:space="preserve"> być dostarczone (w formie pisemnej i elektronicznej na płycie CD jako pliki w formacie PDF) w języku </w:t>
      </w:r>
      <w:r w:rsidRPr="00D367FB">
        <w:rPr>
          <w:rFonts w:cs="Arial"/>
          <w:szCs w:val="18"/>
          <w:lang w:eastAsia="pl-PL"/>
        </w:rPr>
        <w:t>polskim.</w:t>
      </w:r>
    </w:p>
    <w:p w14:paraId="1D181ECA" w14:textId="4A322CB3" w:rsidR="004906BC" w:rsidRPr="004906BC" w:rsidRDefault="004906BC" w:rsidP="00D367F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1A973747" w:rsidR="004906BC" w:rsidRDefault="00E335FF" w:rsidP="00E335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  <w:r w:rsidRPr="00E335FF">
        <w:rPr>
          <w:rFonts w:cstheme="minorHAnsi"/>
        </w:rPr>
        <w:t>Okres obowiązywania umowy</w:t>
      </w:r>
      <w:r>
        <w:rPr>
          <w:rFonts w:cstheme="minorHAnsi"/>
        </w:rPr>
        <w:t xml:space="preserve"> - </w:t>
      </w:r>
      <w:r w:rsidR="00452105" w:rsidRPr="00E335FF">
        <w:rPr>
          <w:rFonts w:cstheme="minorHAnsi"/>
          <w:b/>
          <w:bCs/>
        </w:rPr>
        <w:t>12 miesięcy od daty podpisania umowy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789623D9" w14:textId="77777777" w:rsidR="00D367FB" w:rsidRDefault="00D367FB" w:rsidP="00E335FF">
      <w:pPr>
        <w:widowControl w:val="0"/>
        <w:ind w:left="284" w:firstLine="142"/>
        <w:rPr>
          <w:rFonts w:cs="Arial"/>
          <w:color w:val="000000"/>
          <w:sz w:val="20"/>
        </w:rPr>
      </w:pPr>
      <w:r w:rsidRPr="00E335FF">
        <w:rPr>
          <w:rFonts w:cs="Arial"/>
          <w:snapToGrid w:val="0"/>
          <w:color w:val="000000"/>
          <w:szCs w:val="18"/>
          <w:lang w:eastAsia="pl-PL"/>
        </w:rPr>
        <w:t>Zamówienia</w:t>
      </w:r>
      <w:r w:rsidRPr="0058061E">
        <w:rPr>
          <w:rFonts w:cs="Arial"/>
          <w:snapToGrid w:val="0"/>
          <w:color w:val="000000"/>
          <w:sz w:val="20"/>
          <w:lang w:eastAsia="pl-PL"/>
        </w:rPr>
        <w:t xml:space="preserve"> </w:t>
      </w:r>
      <w:r w:rsidRPr="00E335FF">
        <w:rPr>
          <w:rFonts w:cs="Arial"/>
          <w:snapToGrid w:val="0"/>
          <w:color w:val="000000"/>
          <w:szCs w:val="18"/>
          <w:lang w:eastAsia="pl-PL"/>
        </w:rPr>
        <w:t xml:space="preserve">szczegółowe będą realizowane przez Wykonawcę w </w:t>
      </w:r>
      <w:r w:rsidRPr="00E335FF">
        <w:rPr>
          <w:rFonts w:cs="Arial"/>
          <w:color w:val="000000"/>
          <w:szCs w:val="18"/>
        </w:rPr>
        <w:t>terminie</w:t>
      </w:r>
      <w:r w:rsidRPr="00E335FF">
        <w:rPr>
          <w:rFonts w:cs="Arial"/>
          <w:snapToGrid w:val="0"/>
          <w:color w:val="000000"/>
          <w:szCs w:val="18"/>
          <w:lang w:eastAsia="pl-PL"/>
        </w:rPr>
        <w:t xml:space="preserve"> nie dłuższym niż:</w:t>
      </w:r>
      <w:r w:rsidRPr="0058061E">
        <w:rPr>
          <w:rFonts w:cs="Arial"/>
          <w:color w:val="000000"/>
          <w:sz w:val="20"/>
        </w:rPr>
        <w:t xml:space="preserve"> </w:t>
      </w:r>
    </w:p>
    <w:p w14:paraId="32EA2B54" w14:textId="77777777" w:rsidR="00D367FB" w:rsidRPr="00E335FF" w:rsidRDefault="00D367FB" w:rsidP="00D367FB">
      <w:pPr>
        <w:pStyle w:val="Akapitzlist"/>
        <w:widowControl w:val="0"/>
        <w:numPr>
          <w:ilvl w:val="0"/>
          <w:numId w:val="32"/>
        </w:numPr>
        <w:spacing w:after="0"/>
        <w:jc w:val="both"/>
        <w:rPr>
          <w:rFonts w:cs="Arial"/>
          <w:color w:val="000000"/>
          <w:szCs w:val="18"/>
        </w:rPr>
      </w:pPr>
      <w:r w:rsidRPr="00E335FF">
        <w:rPr>
          <w:rFonts w:cs="Arial"/>
          <w:b/>
          <w:color w:val="000000"/>
          <w:szCs w:val="18"/>
        </w:rPr>
        <w:t>5 dni roboczych dla dostaw zwykłych</w:t>
      </w:r>
      <w:r w:rsidRPr="00E335FF">
        <w:rPr>
          <w:rFonts w:cs="Arial"/>
          <w:color w:val="000000"/>
          <w:szCs w:val="18"/>
        </w:rPr>
        <w:t>, liczonych od określonej w ust. 3 daty złożenia zamówienia szczegółowego przez Zamawiającego, chyba że Zamawiający określi dłuższy termin;</w:t>
      </w:r>
    </w:p>
    <w:p w14:paraId="5C8CF3C8" w14:textId="77777777" w:rsidR="00D367FB" w:rsidRPr="00E335FF" w:rsidRDefault="00D367FB" w:rsidP="00D367FB">
      <w:pPr>
        <w:pStyle w:val="Akapitzlist"/>
        <w:widowControl w:val="0"/>
        <w:numPr>
          <w:ilvl w:val="0"/>
          <w:numId w:val="32"/>
        </w:numPr>
        <w:spacing w:after="0"/>
        <w:jc w:val="both"/>
        <w:rPr>
          <w:rFonts w:cs="Arial"/>
          <w:color w:val="000000"/>
          <w:szCs w:val="18"/>
        </w:rPr>
      </w:pPr>
      <w:r w:rsidRPr="00E335FF">
        <w:rPr>
          <w:rFonts w:cs="Arial"/>
          <w:b/>
          <w:color w:val="000000"/>
          <w:szCs w:val="18"/>
        </w:rPr>
        <w:t>24h dla dostaw awaryjnych</w:t>
      </w:r>
      <w:r w:rsidRPr="00E335FF">
        <w:rPr>
          <w:rFonts w:cs="Arial"/>
          <w:color w:val="000000"/>
          <w:szCs w:val="18"/>
        </w:rPr>
        <w:t>, liczonych od określonej w ust. 3 daty złożenia zamówienia szczegółowego przez Zamawiającego, chyba że Zamawiający określi dłuższy termin. Dostawy awaryjne nie mogą przekroczyć 10% ilości dostawy. W przypadku złożenia zamówienia po godz. 14-tej, czas dostawy przedłuża się do 36 godz.</w:t>
      </w:r>
    </w:p>
    <w:p w14:paraId="759BF829" w14:textId="40BBECF4" w:rsidR="00452105" w:rsidRPr="004906BC" w:rsidRDefault="00452105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6B6682" w14:textId="461E5848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</w:p>
    <w:p w14:paraId="668AC8AB" w14:textId="77777777" w:rsidR="00D367FB" w:rsidRPr="00E335FF" w:rsidRDefault="00D367FB" w:rsidP="00D367FB">
      <w:pPr>
        <w:ind w:left="284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Minimalna wartość zamówienia szczegółowego złożonego przez Zamawiającego nie będzie niższa niż:</w:t>
      </w:r>
    </w:p>
    <w:p w14:paraId="3DC1982D" w14:textId="77D37E04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1 - 600,00 zł netto</w:t>
      </w:r>
    </w:p>
    <w:p w14:paraId="3511FE18" w14:textId="3F3A3F12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2 - 1000,00 zł netto</w:t>
      </w:r>
    </w:p>
    <w:p w14:paraId="1A7239A0" w14:textId="61DC4F88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3 - 600,00 zł netto</w:t>
      </w:r>
    </w:p>
    <w:p w14:paraId="1979D42B" w14:textId="577EBBC6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4 - 600,00 zł netto</w:t>
      </w:r>
    </w:p>
    <w:p w14:paraId="3E3DD775" w14:textId="77777777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5 - 1 000,00 zł netto</w:t>
      </w:r>
    </w:p>
    <w:p w14:paraId="1D60C379" w14:textId="13CA5A22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>Dla części 6 - 500,00 zł netto</w:t>
      </w:r>
    </w:p>
    <w:p w14:paraId="581B5FED" w14:textId="2BE69F5C" w:rsidR="00D367FB" w:rsidRPr="00E335FF" w:rsidRDefault="00D367FB" w:rsidP="00D367FB">
      <w:pPr>
        <w:pStyle w:val="Akapitzlist"/>
        <w:numPr>
          <w:ilvl w:val="0"/>
          <w:numId w:val="35"/>
        </w:numPr>
        <w:spacing w:after="0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lastRenderedPageBreak/>
        <w:t>Dla części 7 - 500,00 zł netto</w:t>
      </w:r>
    </w:p>
    <w:p w14:paraId="0B894A44" w14:textId="77777777" w:rsidR="00D367FB" w:rsidRPr="00D367FB" w:rsidRDefault="00D367FB" w:rsidP="00D367FB">
      <w:pPr>
        <w:pStyle w:val="Akapitzlist"/>
        <w:spacing w:after="0"/>
        <w:ind w:left="1440"/>
        <w:outlineLvl w:val="0"/>
        <w:rPr>
          <w:rFonts w:cs="Arial"/>
          <w:sz w:val="20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0C0D8FAB" w14:textId="77777777" w:rsidR="00D367FB" w:rsidRPr="00E335FF" w:rsidRDefault="00D367FB" w:rsidP="00D367FB">
      <w:pPr>
        <w:pStyle w:val="Akapitzlist"/>
        <w:spacing w:before="120" w:line="276" w:lineRule="auto"/>
        <w:ind w:left="1276" w:hanging="992"/>
        <w:outlineLvl w:val="0"/>
        <w:rPr>
          <w:szCs w:val="18"/>
        </w:rPr>
      </w:pPr>
      <w:r w:rsidRPr="00E335FF">
        <w:rPr>
          <w:szCs w:val="18"/>
        </w:rPr>
        <w:t xml:space="preserve">PGE Dystrybucja S.A. Oddział Łódź:  </w:t>
      </w:r>
    </w:p>
    <w:p w14:paraId="7F4D49BB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Magazyn Główny – ul. </w:t>
      </w:r>
      <w:proofErr w:type="spellStart"/>
      <w:r w:rsidRPr="00E335FF">
        <w:rPr>
          <w:szCs w:val="18"/>
        </w:rPr>
        <w:t>Rokicińska</w:t>
      </w:r>
      <w:proofErr w:type="spellEnd"/>
      <w:r w:rsidRPr="00E335FF">
        <w:rPr>
          <w:szCs w:val="18"/>
        </w:rPr>
        <w:t> 148, 92-412 Łódź</w:t>
      </w:r>
      <w:r w:rsidRPr="00E335FF">
        <w:rPr>
          <w:rFonts w:cs="Arial"/>
          <w:szCs w:val="18"/>
        </w:rPr>
        <w:t>,</w:t>
      </w:r>
    </w:p>
    <w:p w14:paraId="53128BD6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Łódź – ul. Kilińskiego 68/70, 90 -119 Łódź,</w:t>
      </w:r>
    </w:p>
    <w:p w14:paraId="098B8243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Łódź – ul. Ratajska 5/7, 91-231 Łódź,</w:t>
      </w:r>
    </w:p>
    <w:p w14:paraId="4810FEEF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Łódź – ul. Komunalna 1/11, 93-403 Łódź,</w:t>
      </w:r>
    </w:p>
    <w:p w14:paraId="4F10F250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Zgierz-Pabianice – ul. Wschodnia 1/5, 95-100 Zgierz,</w:t>
      </w:r>
    </w:p>
    <w:p w14:paraId="582CB895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Zgierz-Pabianice – ul. Piłsudskiego 19, 95-200 Pabianice,</w:t>
      </w:r>
    </w:p>
    <w:p w14:paraId="46B21DF2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Piotrków Trybunalski – ul. Narutowicza 35,</w:t>
      </w:r>
      <w:r w:rsidRPr="00E335FF">
        <w:rPr>
          <w:szCs w:val="18"/>
        </w:rPr>
        <w:br/>
        <w:t>97-300 Piotrków Trybunalski,</w:t>
      </w:r>
    </w:p>
    <w:p w14:paraId="3A33A362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Radomsko – ul. Joselewicza 6, 97-500 Radomsko,</w:t>
      </w:r>
    </w:p>
    <w:p w14:paraId="6A0FB19A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Przedbórz – ul. Cegielniana 22, 97-570 Przedbórz,</w:t>
      </w:r>
    </w:p>
    <w:p w14:paraId="771D5A53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Żyrardów – ul. Mazowiecka 1-5, 96-300 Żyrardów,</w:t>
      </w:r>
    </w:p>
    <w:p w14:paraId="3C1F2C3F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Skierniewice – ul. Sobieskiego 12, 96-100 Skierniewice,</w:t>
      </w:r>
    </w:p>
    <w:p w14:paraId="12F13DBD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Rawa Mazowiecka – ul. Skierniewicka 35A,</w:t>
      </w:r>
      <w:r w:rsidRPr="00E335FF">
        <w:rPr>
          <w:szCs w:val="18"/>
        </w:rPr>
        <w:br/>
        <w:t>96-200 Rawa Mazowiecka,</w:t>
      </w:r>
    </w:p>
    <w:p w14:paraId="4BDA2EC3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Sieradz – ul. Wojska Polskiego 98, 98-200 Sieradz,</w:t>
      </w:r>
    </w:p>
    <w:p w14:paraId="0C40C409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Łask – ul. Przemysłowa 8, 98-100 Łask,</w:t>
      </w:r>
    </w:p>
    <w:p w14:paraId="2BAD54E7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Poddębice – ul. Łódzka 45, 99-200 Poddębice,</w:t>
      </w:r>
    </w:p>
    <w:p w14:paraId="339EEE45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Łowicz – ul. Mostowa 30, 99-400 Łowicz,</w:t>
      </w:r>
    </w:p>
    <w:p w14:paraId="7327AA6D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Koluszki – ul. Kopernika 9, 95-040 Koluszki,</w:t>
      </w:r>
    </w:p>
    <w:p w14:paraId="53C1FDE0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Sochaczew – ul. Kusocińskiego 7, 96-500 Sochaczew,</w:t>
      </w:r>
    </w:p>
    <w:p w14:paraId="543551F7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Bełchatów – Rogowiec Kurnos, 97-400 Bełchatów,</w:t>
      </w:r>
    </w:p>
    <w:p w14:paraId="1C965789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Wieluń – ul. Sieradzka 62, 98-300 Wieluń,</w:t>
      </w:r>
    </w:p>
    <w:p w14:paraId="4EA8DE56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Posterunek Energetyczny Widawa – ul. Wieluńska 23, 98-170 Widawa,</w:t>
      </w:r>
    </w:p>
    <w:p w14:paraId="3F667297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szCs w:val="18"/>
        </w:rPr>
      </w:pPr>
      <w:r w:rsidRPr="00E335FF">
        <w:rPr>
          <w:szCs w:val="18"/>
        </w:rPr>
        <w:t>Rejon Energetyczny Tomaszów Mazowiecki – ul. M. Skłodowskiej-Curie 51/53,</w:t>
      </w:r>
      <w:r w:rsidRPr="00E335FF">
        <w:rPr>
          <w:szCs w:val="18"/>
        </w:rPr>
        <w:br/>
        <w:t>97-200 Tomaszów Mazowiecki,</w:t>
      </w:r>
    </w:p>
    <w:p w14:paraId="5846F387" w14:textId="77777777" w:rsidR="00D367FB" w:rsidRPr="00E335FF" w:rsidRDefault="00D367FB" w:rsidP="00D367FB">
      <w:pPr>
        <w:numPr>
          <w:ilvl w:val="0"/>
          <w:numId w:val="36"/>
        </w:numPr>
        <w:suppressAutoHyphens/>
        <w:autoSpaceDE w:val="0"/>
        <w:spacing w:after="0"/>
        <w:ind w:left="1700" w:hanging="425"/>
        <w:rPr>
          <w:rFonts w:cs="Arial"/>
          <w:szCs w:val="18"/>
        </w:rPr>
      </w:pPr>
      <w:r w:rsidRPr="00E335FF">
        <w:rPr>
          <w:szCs w:val="18"/>
        </w:rPr>
        <w:t>Posterunek Energetyczny Opoczno – ul. Inowłodzka 19, 26-300 Opoczno</w:t>
      </w:r>
      <w:r w:rsidRPr="00E335FF">
        <w:rPr>
          <w:rFonts w:cs="Arial"/>
          <w:szCs w:val="18"/>
        </w:rPr>
        <w:t>.</w:t>
      </w:r>
    </w:p>
    <w:p w14:paraId="34F978BB" w14:textId="77777777" w:rsidR="00D367FB" w:rsidRPr="00E335FF" w:rsidRDefault="00D367FB" w:rsidP="00D367FB">
      <w:pPr>
        <w:pStyle w:val="Akapitzlist"/>
        <w:spacing w:before="120" w:line="276" w:lineRule="auto"/>
        <w:ind w:left="708"/>
        <w:outlineLvl w:val="0"/>
        <w:rPr>
          <w:rFonts w:cs="Arial"/>
          <w:szCs w:val="18"/>
        </w:rPr>
      </w:pPr>
      <w:r w:rsidRPr="00E335FF">
        <w:rPr>
          <w:rFonts w:cs="Arial"/>
          <w:szCs w:val="18"/>
        </w:rPr>
        <w:t xml:space="preserve">Godziny dostaw </w:t>
      </w:r>
      <w:r w:rsidRPr="00E335FF">
        <w:rPr>
          <w:rFonts w:cs="Arial"/>
          <w:b/>
          <w:szCs w:val="18"/>
        </w:rPr>
        <w:t>7:00 – 14:00 w dni robocze od poniedziałku do piątku</w:t>
      </w:r>
      <w:r w:rsidRPr="00E335FF">
        <w:rPr>
          <w:rFonts w:cs="Arial"/>
          <w:szCs w:val="18"/>
        </w:rPr>
        <w:tab/>
      </w:r>
    </w:p>
    <w:p w14:paraId="4115FAE6" w14:textId="77777777" w:rsidR="00D367FB" w:rsidRPr="00E335FF" w:rsidRDefault="00D367FB" w:rsidP="00D367FB">
      <w:pPr>
        <w:pStyle w:val="Akapitzlist"/>
        <w:spacing w:before="120" w:line="276" w:lineRule="auto"/>
        <w:ind w:left="708"/>
        <w:outlineLvl w:val="0"/>
        <w:rPr>
          <w:rFonts w:cs="Arial"/>
          <w:szCs w:val="18"/>
        </w:rPr>
      </w:pP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85A24E2" w14:textId="5CFC668E" w:rsidR="004906BC" w:rsidRDefault="004906BC" w:rsidP="00E335FF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Wymagana gwarancja n</w:t>
      </w:r>
      <w:r w:rsidR="00452105">
        <w:rPr>
          <w:rFonts w:cstheme="minorHAnsi"/>
        </w:rPr>
        <w:t>a dostarczony przedmiot zakupu</w:t>
      </w:r>
      <w:r w:rsidRPr="004906BC">
        <w:rPr>
          <w:rFonts w:cstheme="minorHAnsi"/>
        </w:rPr>
        <w:t xml:space="preserve"> - nie krócej niż </w:t>
      </w:r>
      <w:r w:rsidR="00FA0D9B">
        <w:rPr>
          <w:rFonts w:cstheme="minorHAnsi"/>
        </w:rPr>
        <w:t>60</w:t>
      </w:r>
      <w:r w:rsidR="00452105">
        <w:rPr>
          <w:rFonts w:cstheme="minorHAnsi"/>
        </w:rPr>
        <w:t xml:space="preserve"> miesi</w:t>
      </w:r>
      <w:r w:rsidR="00FA0D9B">
        <w:rPr>
          <w:rFonts w:cstheme="minorHAnsi"/>
        </w:rPr>
        <w:t>ę</w:t>
      </w:r>
      <w:r w:rsidR="00452105">
        <w:rPr>
          <w:rFonts w:cstheme="minorHAnsi"/>
        </w:rPr>
        <w:t>c</w:t>
      </w:r>
      <w:r w:rsidR="00FA0D9B">
        <w:rPr>
          <w:rFonts w:cstheme="minorHAnsi"/>
        </w:rPr>
        <w:t>y</w:t>
      </w:r>
      <w:r w:rsidRPr="004906BC">
        <w:rPr>
          <w:rFonts w:cstheme="minorHAnsi"/>
        </w:rPr>
        <w:t xml:space="preserve"> oraz zgodnie </w:t>
      </w:r>
      <w:r w:rsidR="00FA0D9B">
        <w:rPr>
          <w:rFonts w:cstheme="minorHAnsi"/>
        </w:rPr>
        <w:br/>
      </w:r>
      <w:r w:rsidRPr="004906BC">
        <w:rPr>
          <w:rFonts w:cstheme="minorHAnsi"/>
        </w:rPr>
        <w:t xml:space="preserve">z projektem umowy stanowiącym </w:t>
      </w:r>
      <w:r w:rsidRPr="004906BC">
        <w:rPr>
          <w:rFonts w:cstheme="minorHAnsi"/>
          <w:b/>
        </w:rPr>
        <w:t xml:space="preserve">Załącznik nr </w:t>
      </w:r>
      <w:r w:rsidR="00E335FF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4BEDB7AA" w14:textId="77777777" w:rsidR="00FA0D9B" w:rsidRPr="00FA0D9B" w:rsidRDefault="00FA0D9B" w:rsidP="00E335FF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cstheme="minorHAnsi"/>
        </w:rPr>
      </w:pPr>
      <w:r w:rsidRPr="00FA0D9B">
        <w:rPr>
          <w:rFonts w:cstheme="minorHAnsi"/>
        </w:rPr>
        <w:t>Gwarancja obejmuje zarówno wady niewykryte w momencie odbioru danej dostawy, jak również wszelkie inne wady fizyczne, powstałe z przyczyn niezależnych od Zamawiającego.</w:t>
      </w:r>
    </w:p>
    <w:p w14:paraId="79ABC4BE" w14:textId="77777777" w:rsidR="00FA0D9B" w:rsidRPr="00FA0D9B" w:rsidRDefault="00FA0D9B" w:rsidP="00E335FF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cstheme="minorHAnsi"/>
        </w:rPr>
      </w:pPr>
      <w:r w:rsidRPr="00FA0D9B">
        <w:rPr>
          <w:rFonts w:cstheme="minorHAnsi"/>
        </w:rPr>
        <w:t>W trakcie trwania procesu dostaw Zamawiający zastrzega sobie prawo do kontroli jakościowej dostarczanych wyrobów oraz ich parametrów.</w:t>
      </w:r>
    </w:p>
    <w:p w14:paraId="2E9A4586" w14:textId="77777777" w:rsidR="00FA0D9B" w:rsidRPr="00452105" w:rsidRDefault="00FA0D9B" w:rsidP="00FA0D9B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5434F47F" w:rsidR="004906BC" w:rsidRPr="004906BC" w:rsidRDefault="00452105" w:rsidP="00E335FF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cstheme="minorHAnsi"/>
        </w:rPr>
      </w:pPr>
      <w:r>
        <w:rPr>
          <w:rFonts w:cstheme="minorHAnsi"/>
        </w:rPr>
        <w:t>Zamawiający</w:t>
      </w:r>
      <w:r w:rsidR="004906BC" w:rsidRPr="004906BC">
        <w:rPr>
          <w:rFonts w:cstheme="minorHAnsi"/>
          <w:b/>
        </w:rPr>
        <w:t xml:space="preserve"> dopuszcza</w:t>
      </w:r>
      <w:r w:rsidR="004906BC"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E335FF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1BF4EAFD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6FDC16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42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C519D15" w:rsidR="00347E8D" w:rsidRPr="006B2C28" w:rsidRDefault="00E335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POST/DYS/OLD/GZ/04541/2025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1437" w:hanging="360"/>
      </w:pPr>
      <w:rPr>
        <w:rFonts w:ascii="Wingdings" w:hAnsi="Wingdings" w:cs="Wingdings" w:hint="default"/>
        <w:szCs w:val="22"/>
      </w:rPr>
    </w:lvl>
  </w:abstractNum>
  <w:abstractNum w:abstractNumId="1" w15:restartNumberingAfterBreak="0">
    <w:nsid w:val="03A05306"/>
    <w:multiLevelType w:val="hybridMultilevel"/>
    <w:tmpl w:val="866683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2C06EF"/>
    <w:multiLevelType w:val="hybridMultilevel"/>
    <w:tmpl w:val="6B9E0F2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B74163D"/>
    <w:multiLevelType w:val="hybridMultilevel"/>
    <w:tmpl w:val="7970302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0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1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8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7667E07"/>
    <w:multiLevelType w:val="multilevel"/>
    <w:tmpl w:val="7CE27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E2852"/>
    <w:multiLevelType w:val="hybridMultilevel"/>
    <w:tmpl w:val="112E97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3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911091">
    <w:abstractNumId w:val="22"/>
  </w:num>
  <w:num w:numId="2" w16cid:durableId="320693069">
    <w:abstractNumId w:val="11"/>
  </w:num>
  <w:num w:numId="3" w16cid:durableId="1960380149">
    <w:abstractNumId w:val="16"/>
  </w:num>
  <w:num w:numId="4" w16cid:durableId="607659326">
    <w:abstractNumId w:val="24"/>
  </w:num>
  <w:num w:numId="5" w16cid:durableId="991711462">
    <w:abstractNumId w:val="22"/>
  </w:num>
  <w:num w:numId="6" w16cid:durableId="379016226">
    <w:abstractNumId w:val="22"/>
  </w:num>
  <w:num w:numId="7" w16cid:durableId="115569676">
    <w:abstractNumId w:val="7"/>
  </w:num>
  <w:num w:numId="8" w16cid:durableId="927881493">
    <w:abstractNumId w:val="32"/>
  </w:num>
  <w:num w:numId="9" w16cid:durableId="476193762">
    <w:abstractNumId w:val="20"/>
  </w:num>
  <w:num w:numId="10" w16cid:durableId="677462498">
    <w:abstractNumId w:val="8"/>
  </w:num>
  <w:num w:numId="11" w16cid:durableId="1475949681">
    <w:abstractNumId w:val="17"/>
  </w:num>
  <w:num w:numId="12" w16cid:durableId="135605881">
    <w:abstractNumId w:val="15"/>
  </w:num>
  <w:num w:numId="13" w16cid:durableId="477766390">
    <w:abstractNumId w:val="31"/>
  </w:num>
  <w:num w:numId="14" w16cid:durableId="464661101">
    <w:abstractNumId w:val="26"/>
  </w:num>
  <w:num w:numId="15" w16cid:durableId="1588463204">
    <w:abstractNumId w:val="19"/>
  </w:num>
  <w:num w:numId="16" w16cid:durableId="124930052">
    <w:abstractNumId w:val="13"/>
  </w:num>
  <w:num w:numId="17" w16cid:durableId="679360299">
    <w:abstractNumId w:val="9"/>
  </w:num>
  <w:num w:numId="18" w16cid:durableId="2139957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9659627">
    <w:abstractNumId w:val="4"/>
  </w:num>
  <w:num w:numId="20" w16cid:durableId="1171412839">
    <w:abstractNumId w:val="33"/>
  </w:num>
  <w:num w:numId="21" w16cid:durableId="1192575356">
    <w:abstractNumId w:val="5"/>
  </w:num>
  <w:num w:numId="22" w16cid:durableId="507060335">
    <w:abstractNumId w:val="18"/>
  </w:num>
  <w:num w:numId="23" w16cid:durableId="1941793001">
    <w:abstractNumId w:val="14"/>
  </w:num>
  <w:num w:numId="24" w16cid:durableId="950746324">
    <w:abstractNumId w:val="25"/>
  </w:num>
  <w:num w:numId="25" w16cid:durableId="1744447438">
    <w:abstractNumId w:val="30"/>
  </w:num>
  <w:num w:numId="26" w16cid:durableId="1415975997">
    <w:abstractNumId w:val="6"/>
  </w:num>
  <w:num w:numId="27" w16cid:durableId="1714698189">
    <w:abstractNumId w:val="29"/>
  </w:num>
  <w:num w:numId="28" w16cid:durableId="386101398">
    <w:abstractNumId w:val="27"/>
  </w:num>
  <w:num w:numId="29" w16cid:durableId="1496993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0842864">
    <w:abstractNumId w:val="23"/>
  </w:num>
  <w:num w:numId="31" w16cid:durableId="97145980">
    <w:abstractNumId w:val="21"/>
  </w:num>
  <w:num w:numId="32" w16cid:durableId="1675107454">
    <w:abstractNumId w:val="3"/>
  </w:num>
  <w:num w:numId="33" w16cid:durableId="1795447045">
    <w:abstractNumId w:val="2"/>
  </w:num>
  <w:num w:numId="34" w16cid:durableId="934171554">
    <w:abstractNumId w:val="1"/>
  </w:num>
  <w:num w:numId="35" w16cid:durableId="351808887">
    <w:abstractNumId w:val="28"/>
  </w:num>
  <w:num w:numId="36" w16cid:durableId="18259682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105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9758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54E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6D4F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67FB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042C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5FF"/>
    <w:rsid w:val="00E33932"/>
    <w:rsid w:val="00E37CAD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D9B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E569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1.docx</dmsv2BaseFileName>
    <dmsv2BaseDisplayName xmlns="http://schemas.microsoft.com/sharepoint/v3">Zał. nr 1</dmsv2BaseDisplayName>
    <dmsv2SWPP2ObjectNumber xmlns="http://schemas.microsoft.com/sharepoint/v3">POST/DYS/OLD/GZ/04541/2025                        </dmsv2SWPP2ObjectNumber>
    <dmsv2SWPP2SumMD5 xmlns="http://schemas.microsoft.com/sharepoint/v3">5e71ae4b0be291f3a860e5b6f3492db1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24022169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JEUP5JKVCYQC-1133723987-20958</_dlc_DocId>
    <_dlc_DocIdUrl xmlns="a19cb1c7-c5c7-46d4-85ae-d83685407bba">
      <Url>https://swpp2.dms.gkpge.pl/sites/41/_layouts/15/DocIdRedir.aspx?ID=JEUP5JKVCYQC-1133723987-20958</Url>
      <Description>JEUP5JKVCYQC-1133723987-20958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CA067-A09A-4161-9749-36347EA73B2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EDEA5D3-F0B3-4644-A294-1822930FF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F5E38-8AE7-464A-8436-821ADC46C1D3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2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3</cp:revision>
  <cp:lastPrinted>2024-07-15T11:21:00Z</cp:lastPrinted>
  <dcterms:created xsi:type="dcterms:W3CDTF">2025-12-02T10:59:00Z</dcterms:created>
  <dcterms:modified xsi:type="dcterms:W3CDTF">2025-12-16T11:10:00Z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e1f4aba1-eb85-4428-95d9-92bc84bb65cd</vt:lpwstr>
  </property>
</Properties>
</file>